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《反间谍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法》宣传标语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间谍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斗争是维护国家安全利益，维护社会政治稳定的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条特殊战线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2、深入学习《中华人民共和国反间课法》，群策群力维护国家安全。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3、大力宣传《反间谍法》，全力维护国家安全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4、积极揭发检举间谍行为，全力维护国家长治久安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5、学习贯彻《反间谍法》，共同维护国家安全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6、切实贯彻实施《反间谍法》，坚决维护国家安全利益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7、维护国家安全人人有责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8、中华人民共和国公民有维护祖国的安全、荣誉和利益的义务，不得有危害祖国的安全、荣誉和利益的行为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9、增强国家安全意识，构筑坚固的国家安全人民防线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10、维护国家安全，保守国家秘密，是全体公民的神圣职责和光荣任务。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6E55"/>
    <w:rsid w:val="036A6E55"/>
    <w:rsid w:val="7B5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2019-10-28T01:27:00Z</dcterms:created>
  <dc:creator>任逍遥</dc:creator>
  <cp:lastModifiedBy>任逍遥</cp:lastModifiedBy>
  <dcterms:modified xsi:type="dcterms:W3CDTF">2019-10-28T01:27:47Z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